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Pr="00493816" w:rsidRDefault="00C655D2">
      <w:pPr>
        <w:rPr>
          <w:b/>
          <w:szCs w:val="24"/>
        </w:rPr>
      </w:pPr>
      <w:r w:rsidRPr="00C655D2">
        <w:rPr>
          <w:b/>
          <w:szCs w:val="24"/>
        </w:rPr>
        <w:t>Pension Fund Committee</w:t>
      </w:r>
    </w:p>
    <w:p w:rsidR="003E6A45" w:rsidRDefault="00C655D2">
      <w:pPr>
        <w:rPr>
          <w:szCs w:val="24"/>
        </w:rPr>
      </w:pPr>
      <w:r w:rsidRPr="00C655D2">
        <w:rPr>
          <w:szCs w:val="24"/>
        </w:rPr>
        <w:t xml:space="preserve">Meeting to be held on </w:t>
      </w:r>
      <w:r w:rsidR="00071883">
        <w:rPr>
          <w:szCs w:val="24"/>
        </w:rPr>
        <w:t>22 March 2013</w:t>
      </w:r>
    </w:p>
    <w:p w:rsidR="003E6A45" w:rsidRPr="000A1F5F" w:rsidRDefault="003E6A45">
      <w:pPr>
        <w:pStyle w:val="arial11"/>
        <w:rPr>
          <w:sz w:val="22"/>
          <w:szCs w:val="22"/>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rsidRPr="000A1F5F">
        <w:tc>
          <w:tcPr>
            <w:tcW w:w="3260" w:type="dxa"/>
          </w:tcPr>
          <w:p w:rsidR="003E6A45" w:rsidRPr="000A1F5F" w:rsidRDefault="003E6A45">
            <w:pPr>
              <w:pStyle w:val="BodyText"/>
              <w:rPr>
                <w:sz w:val="22"/>
                <w:szCs w:val="22"/>
              </w:rPr>
            </w:pPr>
            <w:r w:rsidRPr="000A1F5F">
              <w:rPr>
                <w:sz w:val="22"/>
                <w:szCs w:val="22"/>
              </w:rPr>
              <w:t>Electoral Division affected:</w:t>
            </w:r>
          </w:p>
          <w:p w:rsidR="003E6A45" w:rsidRPr="000A1F5F" w:rsidRDefault="00071883">
            <w:pPr>
              <w:rPr>
                <w:sz w:val="22"/>
                <w:szCs w:val="22"/>
                <w:u w:val="single"/>
              </w:rPr>
            </w:pPr>
            <w:r>
              <w:rPr>
                <w:sz w:val="22"/>
                <w:szCs w:val="22"/>
              </w:rPr>
              <w:t>None</w:t>
            </w:r>
          </w:p>
        </w:tc>
      </w:tr>
    </w:tbl>
    <w:p w:rsidR="003E6A45" w:rsidRDefault="003E6A45">
      <w:pPr>
        <w:rPr>
          <w:sz w:val="22"/>
          <w:szCs w:val="22"/>
          <w:u w:val="single"/>
        </w:rPr>
      </w:pPr>
    </w:p>
    <w:p w:rsidR="00B741D1" w:rsidRDefault="000F4BB7">
      <w:pPr>
        <w:rPr>
          <w:b/>
          <w:szCs w:val="24"/>
        </w:rPr>
      </w:pPr>
      <w:r>
        <w:rPr>
          <w:b/>
          <w:szCs w:val="24"/>
        </w:rPr>
        <w:t>The Management of Local Investment Allocations</w:t>
      </w:r>
    </w:p>
    <w:p w:rsidR="00B741D1" w:rsidRPr="00B741D1" w:rsidRDefault="00B741D1">
      <w:pPr>
        <w:rPr>
          <w:szCs w:val="24"/>
        </w:rPr>
      </w:pPr>
      <w:r>
        <w:rPr>
          <w:szCs w:val="24"/>
        </w:rPr>
        <w:t xml:space="preserve">(Appendix </w:t>
      </w:r>
      <w:r w:rsidR="005B2848">
        <w:rPr>
          <w:szCs w:val="24"/>
        </w:rPr>
        <w:t>'</w:t>
      </w:r>
      <w:r>
        <w:rPr>
          <w:szCs w:val="24"/>
        </w:rPr>
        <w:t>A</w:t>
      </w:r>
      <w:r w:rsidR="005B2848">
        <w:rPr>
          <w:szCs w:val="24"/>
        </w:rPr>
        <w:t>'</w:t>
      </w:r>
      <w:r>
        <w:rPr>
          <w:szCs w:val="24"/>
        </w:rPr>
        <w:t xml:space="preserve"> refers)</w:t>
      </w:r>
    </w:p>
    <w:p w:rsidR="00874888" w:rsidRDefault="00874888" w:rsidP="00874888">
      <w:r>
        <w:t xml:space="preserve"> </w:t>
      </w:r>
    </w:p>
    <w:p w:rsidR="003E6A45" w:rsidRPr="000057D3" w:rsidRDefault="00C655D2">
      <w:pPr>
        <w:rPr>
          <w:szCs w:val="24"/>
        </w:rPr>
      </w:pPr>
      <w:r w:rsidRPr="00C655D2">
        <w:rPr>
          <w:szCs w:val="24"/>
        </w:rPr>
        <w:t>Contact for further information:</w:t>
      </w:r>
    </w:p>
    <w:p w:rsidR="003E6A45" w:rsidRPr="000057D3" w:rsidRDefault="00C655D2">
      <w:pPr>
        <w:rPr>
          <w:szCs w:val="24"/>
        </w:rPr>
      </w:pPr>
      <w:r w:rsidRPr="00C655D2">
        <w:rPr>
          <w:szCs w:val="24"/>
        </w:rPr>
        <w:t>George Graham, (01772) 53810</w:t>
      </w:r>
      <w:r w:rsidR="00071883">
        <w:rPr>
          <w:szCs w:val="24"/>
        </w:rPr>
        <w:t>2, County Treasurer's Directorate</w:t>
      </w:r>
      <w:r w:rsidRPr="00C655D2">
        <w:rPr>
          <w:szCs w:val="24"/>
        </w:rPr>
        <w:t xml:space="preserve">, </w:t>
      </w:r>
    </w:p>
    <w:p w:rsidR="00772BBA" w:rsidRPr="000057D3" w:rsidRDefault="00E770DF">
      <w:pPr>
        <w:rPr>
          <w:szCs w:val="24"/>
        </w:rPr>
      </w:pPr>
      <w:hyperlink r:id="rId7" w:history="1">
        <w:r w:rsidR="00376E06" w:rsidRPr="00D30807">
          <w:rPr>
            <w:rStyle w:val="Hyperlink"/>
            <w:szCs w:val="24"/>
          </w:rPr>
          <w:t>george.graham@lancashire.gov.uk</w:t>
        </w:r>
      </w:hyperlink>
      <w:r w:rsidR="00376E06">
        <w:rPr>
          <w:szCs w:val="24"/>
        </w:rPr>
        <w:t xml:space="preserve"> </w:t>
      </w:r>
    </w:p>
    <w:p w:rsidR="003E6A45" w:rsidRPr="000057D3" w:rsidRDefault="003E6A45">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rsidRPr="000057D3">
        <w:tc>
          <w:tcPr>
            <w:tcW w:w="9180" w:type="dxa"/>
          </w:tcPr>
          <w:p w:rsidR="003E6A45" w:rsidRPr="000057D3" w:rsidRDefault="003E6A45">
            <w:pPr>
              <w:pStyle w:val="Header"/>
              <w:rPr>
                <w:szCs w:val="24"/>
              </w:rPr>
            </w:pPr>
          </w:p>
          <w:p w:rsidR="003E6A45" w:rsidRPr="000057D3" w:rsidRDefault="00C655D2">
            <w:pPr>
              <w:pStyle w:val="Heading6"/>
              <w:rPr>
                <w:rFonts w:ascii="Arial" w:hAnsi="Arial"/>
                <w:szCs w:val="24"/>
              </w:rPr>
            </w:pPr>
            <w:r w:rsidRPr="00C655D2">
              <w:rPr>
                <w:rFonts w:ascii="Arial" w:hAnsi="Arial"/>
                <w:szCs w:val="24"/>
              </w:rPr>
              <w:t>Executive Summary</w:t>
            </w:r>
          </w:p>
          <w:p w:rsidR="000A1F5F" w:rsidRDefault="000A1F5F" w:rsidP="000A1F5F">
            <w:pPr>
              <w:rPr>
                <w:szCs w:val="24"/>
              </w:rPr>
            </w:pPr>
          </w:p>
          <w:p w:rsidR="00F163BB" w:rsidRDefault="00F163BB" w:rsidP="000A1F5F">
            <w:pPr>
              <w:rPr>
                <w:szCs w:val="24"/>
              </w:rPr>
            </w:pPr>
            <w:r>
              <w:rPr>
                <w:szCs w:val="24"/>
              </w:rPr>
              <w:t xml:space="preserve">At its last meeting the Pension Fund Committee requested that officers bring forward proposals for the management of a local investment allocation. Following detailed discussion by the </w:t>
            </w:r>
            <w:r w:rsidR="0036587D">
              <w:rPr>
                <w:szCs w:val="24"/>
              </w:rPr>
              <w:t xml:space="preserve">Investment Panel, the report at Appendix </w:t>
            </w:r>
            <w:r w:rsidR="005B2848">
              <w:rPr>
                <w:szCs w:val="24"/>
              </w:rPr>
              <w:t>'</w:t>
            </w:r>
            <w:r w:rsidR="0036587D">
              <w:rPr>
                <w:szCs w:val="24"/>
              </w:rPr>
              <w:t>A</w:t>
            </w:r>
            <w:r w:rsidR="005B2848">
              <w:rPr>
                <w:szCs w:val="24"/>
              </w:rPr>
              <w:t>'</w:t>
            </w:r>
            <w:r w:rsidR="0036587D">
              <w:rPr>
                <w:szCs w:val="24"/>
              </w:rPr>
              <w:t xml:space="preserve"> sets out various</w:t>
            </w:r>
            <w:r w:rsidR="002F5946">
              <w:rPr>
                <w:szCs w:val="24"/>
              </w:rPr>
              <w:t xml:space="preserve"> principles which it is proposed to adopt in managing an allocation of this sort</w:t>
            </w:r>
            <w:r w:rsidR="00B356B7">
              <w:rPr>
                <w:szCs w:val="24"/>
              </w:rPr>
              <w:t>, including</w:t>
            </w:r>
            <w:r w:rsidR="0036587D">
              <w:rPr>
                <w:szCs w:val="24"/>
              </w:rPr>
              <w:t>:</w:t>
            </w:r>
          </w:p>
          <w:p w:rsidR="0036587D" w:rsidRDefault="0036587D" w:rsidP="000A1F5F">
            <w:pPr>
              <w:rPr>
                <w:szCs w:val="24"/>
              </w:rPr>
            </w:pPr>
          </w:p>
          <w:p w:rsidR="0036587D" w:rsidRDefault="0036587D" w:rsidP="0036587D">
            <w:pPr>
              <w:pStyle w:val="ListParagraph"/>
              <w:numPr>
                <w:ilvl w:val="0"/>
                <w:numId w:val="6"/>
              </w:numPr>
              <w:rPr>
                <w:szCs w:val="24"/>
              </w:rPr>
            </w:pPr>
            <w:r>
              <w:rPr>
                <w:szCs w:val="24"/>
              </w:rPr>
              <w:t>At least initially local investment should be concentrated in the area of property in line with the Investment Strategy’s preference for real income generating assets;</w:t>
            </w:r>
          </w:p>
          <w:p w:rsidR="0036587D" w:rsidRDefault="00D867D1" w:rsidP="0036587D">
            <w:pPr>
              <w:pStyle w:val="ListParagraph"/>
              <w:numPr>
                <w:ilvl w:val="0"/>
                <w:numId w:val="6"/>
              </w:numPr>
              <w:rPr>
                <w:szCs w:val="24"/>
              </w:rPr>
            </w:pPr>
            <w:r>
              <w:rPr>
                <w:szCs w:val="24"/>
              </w:rPr>
              <w:t>The Fund should avoid exposure to construction risk;</w:t>
            </w:r>
            <w:r w:rsidR="005B2848">
              <w:rPr>
                <w:szCs w:val="24"/>
              </w:rPr>
              <w:t xml:space="preserve"> and </w:t>
            </w:r>
          </w:p>
          <w:p w:rsidR="0036587D" w:rsidRDefault="0036587D" w:rsidP="0036587D">
            <w:pPr>
              <w:pStyle w:val="ListParagraph"/>
              <w:numPr>
                <w:ilvl w:val="0"/>
                <w:numId w:val="6"/>
              </w:numPr>
              <w:rPr>
                <w:szCs w:val="24"/>
              </w:rPr>
            </w:pPr>
            <w:r>
              <w:rPr>
                <w:szCs w:val="24"/>
              </w:rPr>
              <w:t>Any allocation should be managed by an external manager in line with a clear investment mandate</w:t>
            </w:r>
            <w:r w:rsidR="005B2848">
              <w:rPr>
                <w:szCs w:val="24"/>
              </w:rPr>
              <w:t>.</w:t>
            </w:r>
          </w:p>
          <w:p w:rsidR="00376E06" w:rsidRPr="000057D3" w:rsidRDefault="00376E06" w:rsidP="000A1F5F">
            <w:pPr>
              <w:rPr>
                <w:szCs w:val="24"/>
              </w:rPr>
            </w:pPr>
          </w:p>
          <w:p w:rsidR="003E6A45" w:rsidRPr="000057D3" w:rsidRDefault="00C655D2">
            <w:pPr>
              <w:pStyle w:val="Heading5"/>
              <w:rPr>
                <w:rFonts w:ascii="Arial" w:hAnsi="Arial"/>
                <w:b w:val="0"/>
                <w:szCs w:val="24"/>
                <w:u w:val="none"/>
              </w:rPr>
            </w:pPr>
            <w:r w:rsidRPr="00C655D2">
              <w:rPr>
                <w:rFonts w:ascii="Arial" w:hAnsi="Arial"/>
                <w:szCs w:val="24"/>
                <w:u w:val="none"/>
              </w:rPr>
              <w:t>Recommendation</w:t>
            </w:r>
          </w:p>
          <w:p w:rsidR="00F163BB" w:rsidRDefault="00F163BB">
            <w:pPr>
              <w:rPr>
                <w:szCs w:val="24"/>
              </w:rPr>
            </w:pPr>
          </w:p>
          <w:p w:rsidR="003E6A45" w:rsidRDefault="00F163BB">
            <w:pPr>
              <w:rPr>
                <w:szCs w:val="24"/>
              </w:rPr>
            </w:pPr>
            <w:r>
              <w:rPr>
                <w:szCs w:val="24"/>
              </w:rPr>
              <w:t xml:space="preserve">The Committee </w:t>
            </w:r>
            <w:r w:rsidR="005B2848">
              <w:rPr>
                <w:szCs w:val="24"/>
              </w:rPr>
              <w:t xml:space="preserve">is </w:t>
            </w:r>
            <w:r>
              <w:rPr>
                <w:szCs w:val="24"/>
              </w:rPr>
              <w:t>recommended to:</w:t>
            </w:r>
          </w:p>
          <w:p w:rsidR="00F163BB" w:rsidRDefault="00F163BB">
            <w:pPr>
              <w:rPr>
                <w:szCs w:val="24"/>
              </w:rPr>
            </w:pPr>
          </w:p>
          <w:p w:rsidR="00F163BB" w:rsidRDefault="00F163BB" w:rsidP="00F163BB">
            <w:pPr>
              <w:pStyle w:val="ListParagraph"/>
              <w:numPr>
                <w:ilvl w:val="0"/>
                <w:numId w:val="5"/>
              </w:numPr>
              <w:rPr>
                <w:szCs w:val="24"/>
              </w:rPr>
            </w:pPr>
            <w:r>
              <w:rPr>
                <w:szCs w:val="24"/>
              </w:rPr>
              <w:t xml:space="preserve">Approve the implementation, in line with the Investment Strategy of an allocation of 3% of the Fund to local property within the Lancashire area as set out in Appendix </w:t>
            </w:r>
            <w:r w:rsidR="005B2848">
              <w:rPr>
                <w:szCs w:val="24"/>
              </w:rPr>
              <w:t>'</w:t>
            </w:r>
            <w:r>
              <w:rPr>
                <w:szCs w:val="24"/>
              </w:rPr>
              <w:t>A</w:t>
            </w:r>
            <w:r w:rsidR="005B2848">
              <w:rPr>
                <w:szCs w:val="24"/>
              </w:rPr>
              <w:t>'</w:t>
            </w:r>
            <w:r>
              <w:rPr>
                <w:szCs w:val="24"/>
              </w:rPr>
              <w:t>.</w:t>
            </w:r>
          </w:p>
          <w:p w:rsidR="002F5946" w:rsidRDefault="002F5946" w:rsidP="002F5946">
            <w:pPr>
              <w:pStyle w:val="ListParagraph"/>
              <w:rPr>
                <w:szCs w:val="24"/>
              </w:rPr>
            </w:pPr>
          </w:p>
          <w:p w:rsidR="00F163BB" w:rsidRDefault="00F163BB" w:rsidP="00F163BB">
            <w:pPr>
              <w:pStyle w:val="ListParagraph"/>
              <w:numPr>
                <w:ilvl w:val="0"/>
                <w:numId w:val="5"/>
              </w:numPr>
              <w:rPr>
                <w:szCs w:val="24"/>
              </w:rPr>
            </w:pPr>
            <w:r>
              <w:rPr>
                <w:szCs w:val="24"/>
              </w:rPr>
              <w:t>To instruct officers to bring forward a procurement strategy paper for the appointment of an appropriate manager together with details of the relevant investment mandate to the next meeting of the Committee.</w:t>
            </w:r>
          </w:p>
          <w:p w:rsidR="003E6A45" w:rsidRPr="00B356B7" w:rsidRDefault="003E6A45" w:rsidP="002F5946">
            <w:pPr>
              <w:pStyle w:val="ListParagraph"/>
              <w:rPr>
                <w:szCs w:val="24"/>
              </w:rPr>
            </w:pPr>
          </w:p>
        </w:tc>
      </w:tr>
    </w:tbl>
    <w:p w:rsidR="002F5946" w:rsidRDefault="002F5946" w:rsidP="00772BBA">
      <w:pPr>
        <w:rPr>
          <w:b/>
          <w:szCs w:val="24"/>
        </w:rPr>
      </w:pPr>
    </w:p>
    <w:p w:rsidR="005B2848" w:rsidRDefault="005B2848" w:rsidP="005B2848">
      <w:pPr>
        <w:rPr>
          <w:b/>
          <w:szCs w:val="24"/>
        </w:rPr>
      </w:pPr>
      <w:r w:rsidRPr="00C655D2">
        <w:rPr>
          <w:b/>
          <w:szCs w:val="24"/>
        </w:rPr>
        <w:t xml:space="preserve">Background and Advice </w:t>
      </w:r>
    </w:p>
    <w:p w:rsidR="005B2848" w:rsidRDefault="005B2848" w:rsidP="005B2848">
      <w:pPr>
        <w:rPr>
          <w:b/>
          <w:szCs w:val="24"/>
        </w:rPr>
      </w:pPr>
    </w:p>
    <w:p w:rsidR="005B2848" w:rsidRDefault="005B2848" w:rsidP="005B2848">
      <w:pPr>
        <w:rPr>
          <w:szCs w:val="24"/>
        </w:rPr>
      </w:pPr>
      <w:r>
        <w:rPr>
          <w:szCs w:val="24"/>
        </w:rPr>
        <w:t xml:space="preserve">The Fund’s approved Investment Strategy includes provision for a local investment allocation of up to 3% of the Fund.  Members of the Committee have asked officers to bring forward proposals as to how such an allocation might be managed. </w:t>
      </w:r>
    </w:p>
    <w:p w:rsidR="002F5946" w:rsidRDefault="002F5946">
      <w:pPr>
        <w:rPr>
          <w:b/>
          <w:szCs w:val="24"/>
        </w:rPr>
      </w:pPr>
      <w:r>
        <w:rPr>
          <w:b/>
          <w:szCs w:val="24"/>
        </w:rPr>
        <w:br w:type="page"/>
      </w:r>
    </w:p>
    <w:p w:rsidR="00B356B7" w:rsidRDefault="00B356B7" w:rsidP="00772BBA">
      <w:pPr>
        <w:rPr>
          <w:szCs w:val="24"/>
        </w:rPr>
      </w:pPr>
    </w:p>
    <w:p w:rsidR="00D867D1" w:rsidRDefault="00B356B7" w:rsidP="00772BBA">
      <w:pPr>
        <w:rPr>
          <w:szCs w:val="24"/>
        </w:rPr>
      </w:pPr>
      <w:r>
        <w:rPr>
          <w:szCs w:val="24"/>
        </w:rPr>
        <w:t xml:space="preserve">While accepting that there are a range of wider considerations related to any investment, which are dealt with elsewhere on the agenda for this meeting of the Committee, it needs to be remembered that any investment which the Fund makes needs to meet the primary criteria of being a “good investment” in terms of delivering the optimum combination of risk and return required to ensure the Fund has resources available to meet its liabilities when they fall due. The report at Appendix </w:t>
      </w:r>
      <w:r w:rsidR="005B2848">
        <w:rPr>
          <w:szCs w:val="24"/>
        </w:rPr>
        <w:t>'</w:t>
      </w:r>
      <w:r>
        <w:rPr>
          <w:szCs w:val="24"/>
        </w:rPr>
        <w:t>A</w:t>
      </w:r>
      <w:r w:rsidR="005B2848">
        <w:rPr>
          <w:szCs w:val="24"/>
        </w:rPr>
        <w:t>'</w:t>
      </w:r>
      <w:r>
        <w:rPr>
          <w:szCs w:val="24"/>
        </w:rPr>
        <w:t xml:space="preserve"> sets out how this can potentially be achieved in the </w:t>
      </w:r>
      <w:r w:rsidR="005029C4">
        <w:rPr>
          <w:szCs w:val="24"/>
        </w:rPr>
        <w:t>particular context of local investment and reflects the advice of the Investment Panel.</w:t>
      </w:r>
    </w:p>
    <w:p w:rsidR="005029C4" w:rsidRDefault="005029C4" w:rsidP="00772BBA">
      <w:pPr>
        <w:rPr>
          <w:szCs w:val="24"/>
        </w:rPr>
      </w:pPr>
    </w:p>
    <w:p w:rsidR="005029C4" w:rsidRDefault="005029C4" w:rsidP="00772BBA">
      <w:pPr>
        <w:rPr>
          <w:szCs w:val="24"/>
        </w:rPr>
      </w:pPr>
      <w:r>
        <w:rPr>
          <w:szCs w:val="24"/>
        </w:rPr>
        <w:t xml:space="preserve">The approach set out is </w:t>
      </w:r>
      <w:r w:rsidR="00B07DDD">
        <w:rPr>
          <w:szCs w:val="24"/>
        </w:rPr>
        <w:t>considered to be a prudent approach</w:t>
      </w:r>
      <w:r>
        <w:rPr>
          <w:szCs w:val="24"/>
        </w:rPr>
        <w:t xml:space="preserve"> </w:t>
      </w:r>
      <w:r w:rsidR="00B07DDD">
        <w:rPr>
          <w:szCs w:val="24"/>
        </w:rPr>
        <w:t xml:space="preserve">designed </w:t>
      </w:r>
      <w:r w:rsidR="00C802F7">
        <w:rPr>
          <w:szCs w:val="24"/>
        </w:rPr>
        <w:t>to allow confidence in the arrangements to grow over time.</w:t>
      </w:r>
    </w:p>
    <w:p w:rsidR="005029C4" w:rsidRPr="000057D3" w:rsidRDefault="005029C4" w:rsidP="00772BBA">
      <w:pPr>
        <w:rPr>
          <w:b/>
          <w:szCs w:val="24"/>
        </w:rPr>
      </w:pPr>
    </w:p>
    <w:p w:rsidR="003E6A45" w:rsidRPr="000057D3" w:rsidRDefault="00C655D2">
      <w:pPr>
        <w:pStyle w:val="Heading1"/>
        <w:rPr>
          <w:szCs w:val="24"/>
        </w:rPr>
      </w:pPr>
      <w:r w:rsidRPr="00C655D2">
        <w:rPr>
          <w:szCs w:val="24"/>
        </w:rPr>
        <w:t>Consultations</w:t>
      </w:r>
    </w:p>
    <w:p w:rsidR="00871B3E" w:rsidRDefault="00871B3E">
      <w:pPr>
        <w:rPr>
          <w:szCs w:val="24"/>
        </w:rPr>
      </w:pPr>
    </w:p>
    <w:p w:rsidR="00D867D1" w:rsidRDefault="00D867D1">
      <w:pPr>
        <w:rPr>
          <w:szCs w:val="24"/>
        </w:rPr>
      </w:pPr>
      <w:r>
        <w:rPr>
          <w:szCs w:val="24"/>
        </w:rPr>
        <w:t xml:space="preserve">The Investment Panel have considered the issues </w:t>
      </w:r>
      <w:proofErr w:type="gramStart"/>
      <w:r>
        <w:rPr>
          <w:szCs w:val="24"/>
        </w:rPr>
        <w:t>raised</w:t>
      </w:r>
      <w:proofErr w:type="gramEnd"/>
      <w:r>
        <w:rPr>
          <w:szCs w:val="24"/>
        </w:rPr>
        <w:t xml:space="preserve"> in this report, and their advice is set out in the report.</w:t>
      </w:r>
    </w:p>
    <w:p w:rsidR="003E6A45" w:rsidRPr="000057D3" w:rsidRDefault="003E6A45">
      <w:pPr>
        <w:rPr>
          <w:szCs w:val="24"/>
        </w:rPr>
      </w:pPr>
    </w:p>
    <w:p w:rsidR="00772BBA" w:rsidRPr="000057D3" w:rsidRDefault="00C655D2" w:rsidP="00772BBA">
      <w:pPr>
        <w:rPr>
          <w:szCs w:val="24"/>
        </w:rPr>
      </w:pPr>
      <w:r w:rsidRPr="00C655D2">
        <w:rPr>
          <w:b/>
          <w:szCs w:val="24"/>
        </w:rPr>
        <w:t>Implications</w:t>
      </w:r>
      <w:r w:rsidRPr="00C655D2">
        <w:rPr>
          <w:szCs w:val="24"/>
        </w:rPr>
        <w:t xml:space="preserve">: </w:t>
      </w:r>
    </w:p>
    <w:p w:rsidR="00772BBA" w:rsidRPr="000057D3" w:rsidRDefault="00772BBA" w:rsidP="00772BBA">
      <w:pPr>
        <w:rPr>
          <w:szCs w:val="24"/>
        </w:rPr>
      </w:pPr>
    </w:p>
    <w:p w:rsidR="00772BBA" w:rsidRPr="000057D3" w:rsidRDefault="00C655D2" w:rsidP="00772BBA">
      <w:pPr>
        <w:rPr>
          <w:szCs w:val="24"/>
        </w:rPr>
      </w:pPr>
      <w:r w:rsidRPr="00C655D2">
        <w:rPr>
          <w:szCs w:val="24"/>
        </w:rPr>
        <w:t>This item has the following implications, as indicated:</w:t>
      </w:r>
    </w:p>
    <w:p w:rsidR="00772BBA" w:rsidRPr="000057D3" w:rsidRDefault="00772BBA" w:rsidP="00772BBA">
      <w:pPr>
        <w:rPr>
          <w:szCs w:val="24"/>
        </w:rPr>
      </w:pPr>
    </w:p>
    <w:p w:rsidR="00772BBA" w:rsidRPr="000057D3" w:rsidRDefault="005029C4" w:rsidP="00772BBA">
      <w:pPr>
        <w:rPr>
          <w:b/>
          <w:szCs w:val="24"/>
        </w:rPr>
      </w:pPr>
      <w:r>
        <w:rPr>
          <w:b/>
          <w:szCs w:val="24"/>
        </w:rPr>
        <w:t>Risk M</w:t>
      </w:r>
      <w:r w:rsidR="00C655D2" w:rsidRPr="00C655D2">
        <w:rPr>
          <w:b/>
          <w:szCs w:val="24"/>
        </w:rPr>
        <w:t>anagement</w:t>
      </w:r>
    </w:p>
    <w:p w:rsidR="00871B3E" w:rsidRDefault="00871B3E" w:rsidP="00772BBA">
      <w:pPr>
        <w:rPr>
          <w:szCs w:val="24"/>
        </w:rPr>
      </w:pPr>
    </w:p>
    <w:p w:rsidR="00F163BB" w:rsidRDefault="00F163BB" w:rsidP="00772BBA">
      <w:pPr>
        <w:rPr>
          <w:szCs w:val="24"/>
        </w:rPr>
      </w:pPr>
      <w:r>
        <w:rPr>
          <w:szCs w:val="24"/>
        </w:rPr>
        <w:t>The proposal to appoint a specific manager for this allocation is intended to manage certain of the key risks inherent in local investment and in particular to ensure that a focus on the Fund’s investment objectives is retained by ensuring that any investment proposal is subject to objective appraisal.</w:t>
      </w:r>
    </w:p>
    <w:p w:rsidR="00871B3E" w:rsidRDefault="00871B3E" w:rsidP="00772BBA">
      <w:pPr>
        <w:rPr>
          <w:szCs w:val="24"/>
        </w:rPr>
      </w:pPr>
    </w:p>
    <w:p w:rsidR="00871B3E" w:rsidRDefault="00871B3E" w:rsidP="00772BBA">
      <w:pPr>
        <w:rPr>
          <w:b/>
          <w:szCs w:val="24"/>
        </w:rPr>
      </w:pPr>
      <w:r>
        <w:rPr>
          <w:b/>
          <w:szCs w:val="24"/>
        </w:rPr>
        <w:t>Financial</w:t>
      </w:r>
    </w:p>
    <w:p w:rsidR="00871B3E" w:rsidRDefault="00871B3E" w:rsidP="00772BBA">
      <w:pPr>
        <w:rPr>
          <w:szCs w:val="24"/>
        </w:rPr>
      </w:pPr>
    </w:p>
    <w:p w:rsidR="00F163BB" w:rsidRDefault="00F163BB" w:rsidP="00772BBA">
      <w:pPr>
        <w:rPr>
          <w:szCs w:val="24"/>
        </w:rPr>
      </w:pPr>
      <w:r>
        <w:rPr>
          <w:szCs w:val="24"/>
        </w:rPr>
        <w:t xml:space="preserve">The process of procuring a manager for this allocation can be managed within existing internal resources. </w:t>
      </w:r>
    </w:p>
    <w:p w:rsidR="00034096" w:rsidRPr="000057D3" w:rsidRDefault="00034096" w:rsidP="00772BBA">
      <w:pPr>
        <w:rPr>
          <w:szCs w:val="24"/>
        </w:rPr>
      </w:pPr>
    </w:p>
    <w:p w:rsidR="003E6A45" w:rsidRPr="000057D3" w:rsidRDefault="00C655D2">
      <w:pPr>
        <w:pStyle w:val="Heading5"/>
        <w:rPr>
          <w:rFonts w:ascii="Arial" w:hAnsi="Arial"/>
          <w:szCs w:val="24"/>
          <w:u w:val="none"/>
        </w:rPr>
      </w:pPr>
      <w:r w:rsidRPr="00C655D2">
        <w:rPr>
          <w:rFonts w:ascii="Arial" w:hAnsi="Arial"/>
          <w:szCs w:val="24"/>
          <w:u w:val="none"/>
        </w:rPr>
        <w:t>Local Government (Access to Information) Act 1985</w:t>
      </w:r>
    </w:p>
    <w:p w:rsidR="003E6A45" w:rsidRPr="000057D3" w:rsidRDefault="00C655D2">
      <w:pPr>
        <w:pStyle w:val="Heading5"/>
        <w:rPr>
          <w:rFonts w:ascii="Arial" w:hAnsi="Arial"/>
          <w:szCs w:val="24"/>
          <w:u w:val="none"/>
        </w:rPr>
      </w:pPr>
      <w:r w:rsidRPr="00C655D2">
        <w:rPr>
          <w:rFonts w:ascii="Arial" w:hAnsi="Arial"/>
          <w:szCs w:val="24"/>
          <w:u w:val="none"/>
        </w:rPr>
        <w:t>List of Background Papers</w:t>
      </w:r>
    </w:p>
    <w:p w:rsidR="003E6A45" w:rsidRPr="000057D3" w:rsidRDefault="003E6A45">
      <w:pPr>
        <w:rPr>
          <w:szCs w:val="24"/>
        </w:rPr>
      </w:pPr>
    </w:p>
    <w:tbl>
      <w:tblPr>
        <w:tblW w:w="0" w:type="auto"/>
        <w:tblLayout w:type="fixed"/>
        <w:tblLook w:val="000C"/>
      </w:tblPr>
      <w:tblGrid>
        <w:gridCol w:w="3227"/>
        <w:gridCol w:w="2775"/>
        <w:gridCol w:w="3178"/>
      </w:tblGrid>
      <w:tr w:rsidR="003E6A45" w:rsidRPr="000057D3">
        <w:tc>
          <w:tcPr>
            <w:tcW w:w="3227" w:type="dxa"/>
          </w:tcPr>
          <w:p w:rsidR="003E6A45" w:rsidRPr="000057D3" w:rsidRDefault="00C655D2">
            <w:pPr>
              <w:pStyle w:val="Heading7"/>
              <w:rPr>
                <w:rFonts w:ascii="Arial" w:hAnsi="Arial"/>
                <w:szCs w:val="24"/>
                <w:u w:val="none"/>
              </w:rPr>
            </w:pPr>
            <w:r w:rsidRPr="00C655D2">
              <w:rPr>
                <w:rFonts w:ascii="Arial" w:hAnsi="Arial"/>
                <w:szCs w:val="24"/>
                <w:u w:val="none"/>
              </w:rPr>
              <w:t>Paper</w:t>
            </w:r>
          </w:p>
        </w:tc>
        <w:tc>
          <w:tcPr>
            <w:tcW w:w="2775" w:type="dxa"/>
          </w:tcPr>
          <w:p w:rsidR="003E6A45" w:rsidRPr="000057D3" w:rsidRDefault="00C655D2">
            <w:pPr>
              <w:pStyle w:val="Heading7"/>
              <w:rPr>
                <w:rFonts w:ascii="Arial" w:hAnsi="Arial"/>
                <w:szCs w:val="24"/>
                <w:u w:val="none"/>
              </w:rPr>
            </w:pPr>
            <w:r w:rsidRPr="00C655D2">
              <w:rPr>
                <w:rFonts w:ascii="Arial" w:hAnsi="Arial"/>
                <w:szCs w:val="24"/>
                <w:u w:val="none"/>
              </w:rPr>
              <w:t>Date</w:t>
            </w:r>
          </w:p>
        </w:tc>
        <w:tc>
          <w:tcPr>
            <w:tcW w:w="3178" w:type="dxa"/>
          </w:tcPr>
          <w:p w:rsidR="003E6A45" w:rsidRPr="000057D3" w:rsidRDefault="00C655D2">
            <w:pPr>
              <w:pStyle w:val="Heading7"/>
              <w:rPr>
                <w:rFonts w:ascii="Arial" w:hAnsi="Arial"/>
                <w:szCs w:val="24"/>
                <w:u w:val="none"/>
              </w:rPr>
            </w:pPr>
            <w:r w:rsidRPr="00C655D2">
              <w:rPr>
                <w:rFonts w:ascii="Arial" w:hAnsi="Arial"/>
                <w:szCs w:val="24"/>
                <w:u w:val="none"/>
              </w:rPr>
              <w:t>Contact/Directorate/Tel</w:t>
            </w:r>
          </w:p>
        </w:tc>
      </w:tr>
      <w:tr w:rsidR="003E6A45" w:rsidRPr="000057D3">
        <w:tc>
          <w:tcPr>
            <w:tcW w:w="3227" w:type="dxa"/>
          </w:tcPr>
          <w:p w:rsidR="003E6A45" w:rsidRPr="000057D3" w:rsidRDefault="003E6A45">
            <w:pPr>
              <w:pStyle w:val="Heading7"/>
              <w:rPr>
                <w:rFonts w:ascii="Arial" w:hAnsi="Arial"/>
                <w:szCs w:val="24"/>
                <w:u w:val="none"/>
              </w:rPr>
            </w:pPr>
          </w:p>
          <w:p w:rsidR="003E6A45" w:rsidRPr="000057D3" w:rsidRDefault="00C655D2">
            <w:pPr>
              <w:rPr>
                <w:szCs w:val="24"/>
              </w:rPr>
            </w:pPr>
            <w:r w:rsidRPr="00C655D2">
              <w:rPr>
                <w:szCs w:val="24"/>
              </w:rPr>
              <w:t>N/A</w:t>
            </w:r>
          </w:p>
        </w:tc>
        <w:tc>
          <w:tcPr>
            <w:tcW w:w="2775" w:type="dxa"/>
          </w:tcPr>
          <w:p w:rsidR="003E6A45" w:rsidRPr="000057D3" w:rsidRDefault="003E6A45">
            <w:pPr>
              <w:pStyle w:val="Heading7"/>
              <w:rPr>
                <w:rFonts w:ascii="Arial" w:hAnsi="Arial"/>
                <w:szCs w:val="24"/>
                <w:u w:val="none"/>
              </w:rPr>
            </w:pPr>
          </w:p>
          <w:p w:rsidR="003E6A45" w:rsidRPr="000057D3" w:rsidRDefault="003E6A45">
            <w:pPr>
              <w:rPr>
                <w:szCs w:val="24"/>
              </w:rPr>
            </w:pPr>
          </w:p>
        </w:tc>
        <w:tc>
          <w:tcPr>
            <w:tcW w:w="3178" w:type="dxa"/>
          </w:tcPr>
          <w:p w:rsidR="003E6A45" w:rsidRPr="000057D3" w:rsidRDefault="003E6A45">
            <w:pPr>
              <w:rPr>
                <w:szCs w:val="24"/>
              </w:rPr>
            </w:pPr>
          </w:p>
          <w:p w:rsidR="003E6A45" w:rsidRPr="000057D3" w:rsidRDefault="003E6A45">
            <w:pPr>
              <w:rPr>
                <w:szCs w:val="24"/>
              </w:rPr>
            </w:pPr>
          </w:p>
          <w:p w:rsidR="003E6A45" w:rsidRPr="000057D3" w:rsidRDefault="003E6A45">
            <w:pPr>
              <w:rPr>
                <w:szCs w:val="24"/>
              </w:rPr>
            </w:pPr>
          </w:p>
        </w:tc>
      </w:tr>
      <w:tr w:rsidR="003E6A45" w:rsidRPr="000057D3">
        <w:tc>
          <w:tcPr>
            <w:tcW w:w="9180" w:type="dxa"/>
            <w:gridSpan w:val="3"/>
          </w:tcPr>
          <w:p w:rsidR="003E6A45" w:rsidRPr="000057D3" w:rsidRDefault="00C655D2">
            <w:pPr>
              <w:rPr>
                <w:szCs w:val="24"/>
              </w:rPr>
            </w:pPr>
            <w:r w:rsidRPr="00C655D2">
              <w:rPr>
                <w:szCs w:val="24"/>
              </w:rPr>
              <w:t>Reason for inclusion in Part II, if appropriate</w:t>
            </w:r>
          </w:p>
          <w:p w:rsidR="003E6A45" w:rsidRPr="000057D3" w:rsidRDefault="003E6A45">
            <w:pPr>
              <w:rPr>
                <w:szCs w:val="24"/>
              </w:rPr>
            </w:pPr>
          </w:p>
          <w:p w:rsidR="003E6A45" w:rsidRPr="000057D3" w:rsidRDefault="00871B3E" w:rsidP="00B37206">
            <w:pPr>
              <w:rPr>
                <w:szCs w:val="24"/>
              </w:rPr>
            </w:pPr>
            <w:r>
              <w:rPr>
                <w:szCs w:val="24"/>
              </w:rPr>
              <w:t>N/A</w:t>
            </w:r>
          </w:p>
        </w:tc>
      </w:tr>
    </w:tbl>
    <w:p w:rsidR="003E6A45" w:rsidRPr="000057D3" w:rsidRDefault="003E6A45">
      <w:pPr>
        <w:rPr>
          <w:szCs w:val="24"/>
        </w:rPr>
      </w:pPr>
    </w:p>
    <w:sectPr w:rsidR="003E6A45" w:rsidRPr="000057D3" w:rsidSect="008A51BE">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4B" w:rsidRDefault="007D2C4B">
      <w:r>
        <w:separator/>
      </w:r>
    </w:p>
  </w:endnote>
  <w:endnote w:type="continuationSeparator" w:id="0">
    <w:p w:rsidR="007D2C4B" w:rsidRDefault="007D2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82A40">
      <w:tc>
        <w:tcPr>
          <w:tcW w:w="9243" w:type="dxa"/>
          <w:tcBorders>
            <w:top w:val="nil"/>
            <w:left w:val="nil"/>
            <w:bottom w:val="nil"/>
            <w:right w:val="nil"/>
          </w:tcBorders>
        </w:tcPr>
        <w:p w:rsidR="00E82A40" w:rsidRDefault="00E82A40">
          <w:pPr>
            <w:pStyle w:val="Footer"/>
            <w:tabs>
              <w:tab w:val="clear" w:pos="4153"/>
            </w:tabs>
            <w:ind w:right="-45"/>
            <w:jc w:val="right"/>
          </w:pPr>
        </w:p>
      </w:tc>
    </w:tr>
  </w:tbl>
  <w:p w:rsidR="00E82A40" w:rsidRDefault="00E82A40">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82A40">
      <w:tc>
        <w:tcPr>
          <w:tcW w:w="9243" w:type="dxa"/>
          <w:tcBorders>
            <w:top w:val="nil"/>
            <w:left w:val="nil"/>
            <w:bottom w:val="nil"/>
            <w:right w:val="nil"/>
          </w:tcBorders>
        </w:tcPr>
        <w:p w:rsidR="00E82A40" w:rsidRDefault="00E82A40">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E82A40" w:rsidRDefault="00E82A40">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4B" w:rsidRDefault="007D2C4B">
      <w:r>
        <w:separator/>
      </w:r>
    </w:p>
  </w:footnote>
  <w:footnote w:type="continuationSeparator" w:id="0">
    <w:p w:rsidR="007D2C4B" w:rsidRDefault="007D2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40" w:rsidRDefault="00E82A4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B68"/>
    <w:multiLevelType w:val="hybridMultilevel"/>
    <w:tmpl w:val="F5C66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3F76D9"/>
    <w:multiLevelType w:val="hybridMultilevel"/>
    <w:tmpl w:val="7F7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751ED"/>
    <w:multiLevelType w:val="hybridMultilevel"/>
    <w:tmpl w:val="5B8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0248AC"/>
    <w:multiLevelType w:val="hybridMultilevel"/>
    <w:tmpl w:val="8A46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EE5E0E"/>
    <w:multiLevelType w:val="hybridMultilevel"/>
    <w:tmpl w:val="F56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6610C"/>
    <w:multiLevelType w:val="hybridMultilevel"/>
    <w:tmpl w:val="5EBE1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6A45"/>
    <w:rsid w:val="000057D3"/>
    <w:rsid w:val="00034096"/>
    <w:rsid w:val="00065E7C"/>
    <w:rsid w:val="00071883"/>
    <w:rsid w:val="000A1F5F"/>
    <w:rsid w:val="000E2DA2"/>
    <w:rsid w:val="000F4BB7"/>
    <w:rsid w:val="0028461B"/>
    <w:rsid w:val="002907CD"/>
    <w:rsid w:val="002B11AF"/>
    <w:rsid w:val="002D732C"/>
    <w:rsid w:val="002F5946"/>
    <w:rsid w:val="0030201C"/>
    <w:rsid w:val="00334B2C"/>
    <w:rsid w:val="00354CAC"/>
    <w:rsid w:val="00357954"/>
    <w:rsid w:val="0036587D"/>
    <w:rsid w:val="00376E06"/>
    <w:rsid w:val="003C2F5E"/>
    <w:rsid w:val="003C7AA3"/>
    <w:rsid w:val="003E5CD0"/>
    <w:rsid w:val="003E6A45"/>
    <w:rsid w:val="00430CAA"/>
    <w:rsid w:val="00446C98"/>
    <w:rsid w:val="0044710C"/>
    <w:rsid w:val="00493816"/>
    <w:rsid w:val="005029C4"/>
    <w:rsid w:val="005659FB"/>
    <w:rsid w:val="005A7917"/>
    <w:rsid w:val="005B2848"/>
    <w:rsid w:val="005D0742"/>
    <w:rsid w:val="00616E64"/>
    <w:rsid w:val="006C0365"/>
    <w:rsid w:val="006D2264"/>
    <w:rsid w:val="00772BBA"/>
    <w:rsid w:val="00773AB5"/>
    <w:rsid w:val="00775D11"/>
    <w:rsid w:val="007B4AE8"/>
    <w:rsid w:val="007D2C4B"/>
    <w:rsid w:val="007E7A9F"/>
    <w:rsid w:val="00817E86"/>
    <w:rsid w:val="00842A9D"/>
    <w:rsid w:val="00850D5E"/>
    <w:rsid w:val="008516BB"/>
    <w:rsid w:val="00864001"/>
    <w:rsid w:val="00871B3E"/>
    <w:rsid w:val="00874888"/>
    <w:rsid w:val="00884781"/>
    <w:rsid w:val="008A51BE"/>
    <w:rsid w:val="008A5E88"/>
    <w:rsid w:val="008B6942"/>
    <w:rsid w:val="009679EA"/>
    <w:rsid w:val="009713FA"/>
    <w:rsid w:val="009A73FC"/>
    <w:rsid w:val="00A15EA9"/>
    <w:rsid w:val="00A3366F"/>
    <w:rsid w:val="00A8694C"/>
    <w:rsid w:val="00AA072D"/>
    <w:rsid w:val="00AB08B5"/>
    <w:rsid w:val="00AE4678"/>
    <w:rsid w:val="00B07DDD"/>
    <w:rsid w:val="00B22CEE"/>
    <w:rsid w:val="00B356B7"/>
    <w:rsid w:val="00B37206"/>
    <w:rsid w:val="00B741D1"/>
    <w:rsid w:val="00BA0D35"/>
    <w:rsid w:val="00BB08CC"/>
    <w:rsid w:val="00BE6425"/>
    <w:rsid w:val="00C20DC0"/>
    <w:rsid w:val="00C655D2"/>
    <w:rsid w:val="00C72F6F"/>
    <w:rsid w:val="00C73E82"/>
    <w:rsid w:val="00C802F7"/>
    <w:rsid w:val="00C82C6B"/>
    <w:rsid w:val="00C9263C"/>
    <w:rsid w:val="00CA7630"/>
    <w:rsid w:val="00CC066E"/>
    <w:rsid w:val="00CD5239"/>
    <w:rsid w:val="00CE653F"/>
    <w:rsid w:val="00CE7D80"/>
    <w:rsid w:val="00D63918"/>
    <w:rsid w:val="00D66AEB"/>
    <w:rsid w:val="00D6790D"/>
    <w:rsid w:val="00D81390"/>
    <w:rsid w:val="00D867D1"/>
    <w:rsid w:val="00DF42E1"/>
    <w:rsid w:val="00E22E46"/>
    <w:rsid w:val="00E73772"/>
    <w:rsid w:val="00E770DF"/>
    <w:rsid w:val="00E82A40"/>
    <w:rsid w:val="00EA45E5"/>
    <w:rsid w:val="00EC5279"/>
    <w:rsid w:val="00F07578"/>
    <w:rsid w:val="00F07AF5"/>
    <w:rsid w:val="00F163BB"/>
    <w:rsid w:val="00F52B01"/>
    <w:rsid w:val="00F5486F"/>
    <w:rsid w:val="00F66839"/>
    <w:rsid w:val="00F72A94"/>
    <w:rsid w:val="00F834EE"/>
    <w:rsid w:val="00FC1612"/>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BE"/>
    <w:rPr>
      <w:rFonts w:ascii="Arial" w:hAnsi="Arial"/>
      <w:sz w:val="24"/>
    </w:rPr>
  </w:style>
  <w:style w:type="paragraph" w:styleId="Heading1">
    <w:name w:val="heading 1"/>
    <w:basedOn w:val="Normal"/>
    <w:next w:val="Normal"/>
    <w:qFormat/>
    <w:rsid w:val="008A51BE"/>
    <w:pPr>
      <w:keepNext/>
      <w:outlineLvl w:val="0"/>
    </w:pPr>
    <w:rPr>
      <w:b/>
    </w:rPr>
  </w:style>
  <w:style w:type="paragraph" w:styleId="Heading5">
    <w:name w:val="heading 5"/>
    <w:basedOn w:val="Normal"/>
    <w:next w:val="Normal"/>
    <w:qFormat/>
    <w:rsid w:val="008A51BE"/>
    <w:pPr>
      <w:keepNext/>
      <w:outlineLvl w:val="4"/>
    </w:pPr>
    <w:rPr>
      <w:rFonts w:ascii="Univers" w:hAnsi="Univers"/>
      <w:b/>
      <w:u w:val="single"/>
    </w:rPr>
  </w:style>
  <w:style w:type="paragraph" w:styleId="Heading6">
    <w:name w:val="heading 6"/>
    <w:basedOn w:val="Normal"/>
    <w:next w:val="Normal"/>
    <w:qFormat/>
    <w:rsid w:val="008A51BE"/>
    <w:pPr>
      <w:keepNext/>
      <w:outlineLvl w:val="5"/>
    </w:pPr>
    <w:rPr>
      <w:rFonts w:ascii="Univers" w:hAnsi="Univers"/>
      <w:b/>
    </w:rPr>
  </w:style>
  <w:style w:type="paragraph" w:styleId="Heading7">
    <w:name w:val="heading 7"/>
    <w:basedOn w:val="Normal"/>
    <w:next w:val="Normal"/>
    <w:qFormat/>
    <w:rsid w:val="008A51B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1BE"/>
  </w:style>
  <w:style w:type="paragraph" w:customStyle="1" w:styleId="arial11">
    <w:name w:val="arial11"/>
    <w:basedOn w:val="Normal"/>
    <w:rsid w:val="008A51BE"/>
  </w:style>
  <w:style w:type="paragraph" w:styleId="BodyText">
    <w:name w:val="Body Text"/>
    <w:basedOn w:val="Normal"/>
    <w:rsid w:val="008A51BE"/>
  </w:style>
  <w:style w:type="paragraph" w:styleId="Footer">
    <w:name w:val="footer"/>
    <w:basedOn w:val="Normal"/>
    <w:rsid w:val="008A51BE"/>
    <w:pPr>
      <w:tabs>
        <w:tab w:val="center" w:pos="4153"/>
        <w:tab w:val="right" w:pos="8306"/>
      </w:tabs>
    </w:pPr>
  </w:style>
  <w:style w:type="character" w:styleId="PageNumber">
    <w:name w:val="page number"/>
    <w:basedOn w:val="DefaultParagraphFont"/>
    <w:rsid w:val="008A51BE"/>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6D2264"/>
    <w:pPr>
      <w:ind w:left="720"/>
      <w:contextualSpacing/>
    </w:pPr>
  </w:style>
  <w:style w:type="character" w:styleId="Hyperlink">
    <w:name w:val="Hyperlink"/>
    <w:basedOn w:val="DefaultParagraphFont"/>
    <w:uiPriority w:val="99"/>
    <w:unhideWhenUsed/>
    <w:rsid w:val="00376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apayne001</dc:creator>
  <dc:description>August 2009</dc:description>
  <cp:lastModifiedBy>User</cp:lastModifiedBy>
  <cp:revision>3</cp:revision>
  <cp:lastPrinted>2002-09-23T10:55:00Z</cp:lastPrinted>
  <dcterms:created xsi:type="dcterms:W3CDTF">2013-02-25T13:55:00Z</dcterms:created>
  <dcterms:modified xsi:type="dcterms:W3CDTF">2013-02-25T13:55:00Z</dcterms:modified>
</cp:coreProperties>
</file>